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lear" w:pos="708"/>
          <w:tab w:val="left" w:pos="4820" w:leader="none"/>
        </w:tabs>
        <w:spacing w:before="0" w:after="0" w:line="240" w:lineRule="auto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Приложение</w:t>
      </w:r>
    </w:p>
    <w:p>
      <w:pPr>
        <w:pStyle w:val="Normal"/>
        <w:tabs>
          <w:tab w:val="clear" w:pos="708"/>
          <w:tab w:val="left" w:pos="4820" w:leader="none"/>
        </w:tabs>
        <w:spacing w:before="0" w:after="0" w:line="240" w:lineRule="auto"/>
        <w:ind w:left="709" w:right="0"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к приказу Администрации поселка </w:t>
      </w:r>
    </w:p>
    <w:p>
      <w:pPr>
        <w:pStyle w:val="Normal"/>
        <w:tabs>
          <w:tab w:val="clear" w:pos="708"/>
          <w:tab w:val="left" w:pos="4820" w:leader="none"/>
        </w:tabs>
        <w:spacing w:before="0" w:after="0" w:line="240" w:lineRule="auto"/>
        <w:ind w:left="709" w:right="0" w:firstLine="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городского типа Уренгой</w:t>
      </w:r>
    </w:p>
    <w:p>
      <w:pPr>
        <w:pStyle w:val="Normal"/>
        <w:tabs>
          <w:tab w:val="clear" w:pos="708"/>
          <w:tab w:val="left" w:pos="4820" w:leader="none"/>
        </w:tabs>
        <w:spacing w:before="0" w:beforeAutospacing="0" w:after="0" w:afterAutospacing="0" w:line="240" w:lineRule="auto"/>
        <w:ind w:left="709" w:right="0" w:firstLine="3498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о</w:t>
      </w:r>
      <w:r>
        <w:rPr>
          <w:rFonts w:ascii="Liberation Serif" w:hAnsi="Liberation Serif" w:eastAsia="Liberation Serif" w:cs="Liberation Serif"/>
          <w:color w:val="000000"/>
          <w:spacing w:val="139"/>
          <w:sz w:val="24"/>
          <w:szCs w:val="24"/>
        </w:rPr>
        <w:t xml:space="preserve">т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______.__________</w:t>
      </w:r>
      <w:r>
        <w:rPr>
          <w:rFonts w:ascii="Liberation Serif" w:hAnsi="Liberation Serif" w:eastAsia="Liberation Serif" w:cs="Liberation Serif"/>
          <w:color w:val="000000"/>
          <w:spacing w:val="69"/>
          <w:sz w:val="24"/>
          <w:szCs w:val="24"/>
        </w:rPr>
        <w:t xml:space="preserve">_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2022 г</w:t>
      </w:r>
      <w:r>
        <w:rPr>
          <w:rFonts w:ascii="Liberation Serif" w:hAnsi="Liberation Serif" w:eastAsia="Liberation Serif" w:cs="Liberation Serif"/>
          <w:color w:val="000000"/>
          <w:spacing w:val="139"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pacing w:val="140"/>
          <w:sz w:val="24"/>
          <w:szCs w:val="24"/>
        </w:rPr>
        <w:t xml:space="preserve">№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__ </w:t>
      </w:r>
    </w:p>
    <w:p>
      <w:pPr>
        <w:pStyle w:val="Normal"/>
        <w:spacing w:before="0" w:beforeAutospacing="0" w:after="0" w:afterAutospacing="0" w:line="240" w:lineRule="auto"/>
        <w:ind w:left="709" w:right="0" w:firstLine="709"/>
        <w:jc w:val="center"/>
        <w:rPr>
          <w:rFonts w:ascii="Liberation Serif" w:hAnsi="Liberation Serif" w:eastAsia="Times New Roman" w:cs="Liberation Serif"/>
          <w:b/>
          <w:bCs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4"/>
          <w:szCs w:val="24"/>
        </w:rPr>
      </w:r>
    </w:p>
    <w:p>
      <w:pPr>
        <w:pStyle w:val="Normal"/>
        <w:spacing w:before="0" w:beforeAutospacing="0" w:after="0" w:afterAutospacing="0" w:line="240" w:lineRule="auto"/>
        <w:ind w:left="709" w:right="0" w:firstLine="709"/>
        <w:jc w:val="center"/>
        <w:rPr>
          <w:rFonts w:ascii="Liberation Serif" w:hAnsi="Liberation Serif" w:eastAsia="Times New Roman" w:cs="Liberation Serif"/>
          <w:b/>
          <w:bCs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4"/>
          <w:szCs w:val="24"/>
        </w:rPr>
      </w:r>
    </w:p>
    <w:p>
      <w:pPr>
        <w:pStyle w:val="Default"/>
        <w:ind w:left="0" w:right="0" w:firstLine="0"/>
        <w:jc w:val="center"/>
        <w:rPr>
          <w:color w:val="000000"/>
        </w:rPr>
      </w:pPr>
      <w:r>
        <w:rPr>
          <w:rFonts w:cs="Times New Roman"/>
          <w:b/>
          <w:color w:val="000000"/>
        </w:rPr>
        <w:t xml:space="preserve">ПРОГРАММА </w:t>
      </w:r>
    </w:p>
    <w:p>
      <w:pPr>
        <w:pStyle w:val="Default"/>
        <w:ind w:left="0" w:right="0" w:firstLine="0"/>
        <w:jc w:val="center"/>
        <w:rPr>
          <w:color w:val="000000"/>
        </w:rPr>
      </w:pPr>
      <w:r>
        <w:rPr>
          <w:rFonts w:cs="Times New Roman"/>
          <w:b/>
          <w:color w:val="000000"/>
        </w:rPr>
        <w:t xml:space="preserve">профилактики рисков причинения вреда (ущерба) охраняемым законом ценностям</w:t>
      </w:r>
    </w:p>
    <w:p>
      <w:pPr>
        <w:pStyle w:val="Normal"/>
        <w:ind w:left="0" w:right="0" w:firstLine="0"/>
        <w:jc w:val="center"/>
        <w:rPr>
          <w:color w:val="000000"/>
        </w:rPr>
      </w:pPr>
      <w:r>
        <w:rPr>
          <w:rFonts w:ascii=" Liberation Serif" w:hAnsi=" Liberation Serif"/>
          <w:b/>
          <w:color w:val="000000"/>
        </w:rPr>
        <w:t xml:space="preserve">при осуществлении муниципального земельного контроля на 2024 год</w:t>
      </w:r>
    </w:p>
    <w:p>
      <w:pPr>
        <w:pStyle w:val="Normal"/>
        <w:ind w:left="0" w:right="0" w:firstLine="0"/>
        <w:rPr>
          <w:rFonts w:ascii=" Liberation Serif" w:hAnsi=" Liberation Serif"/>
          <w:color w:val="000000"/>
        </w:rPr>
      </w:pPr>
      <w:r>
        <w:rPr>
          <w:rFonts w:ascii=" Liberation Serif" w:hAnsi=" Liberation Serif"/>
          <w:color w:val="000000"/>
        </w:rPr>
      </w:r>
    </w:p>
    <w:p>
      <w:pPr>
        <w:pStyle w:val="Normal"/>
        <w:ind w:left="0" w:right="0" w:firstLine="0"/>
        <w:jc w:val="center"/>
        <w:rPr>
          <w:color w:val="000000"/>
        </w:rPr>
      </w:pPr>
      <w:r>
        <w:rPr>
          <w:rFonts w:ascii=" Liberation Serif" w:hAnsi=" Liberation Serif" w:eastAsia="Liberation Serif" w:cs="Liberation Serif"/>
          <w:b/>
          <w:bCs/>
          <w:color w:val="000000"/>
          <w:sz w:val="24"/>
          <w:szCs w:val="24"/>
        </w:rPr>
        <w:t xml:space="preserve">Паспор</w:t>
      </w:r>
      <w:r>
        <w:rPr>
          <w:rFonts w:ascii=" Liberation Serif" w:hAnsi=" Liberation Serif" w:eastAsia="Liberation Serif" w:cs="Liberation Serif"/>
          <w:b/>
          <w:bCs/>
          <w:color w:val="000000"/>
          <w:spacing w:val="90"/>
          <w:sz w:val="24"/>
          <w:szCs w:val="24"/>
        </w:rPr>
        <w:t xml:space="preserve">т</w:t>
      </w:r>
      <w:r>
        <w:rPr>
          <w:rFonts w:ascii=" Liberation Serif" w:hAnsi=" Liberation Serif" w:eastAsia="Liberation Serif" w:cs="Liberation Serif"/>
          <w:b/>
          <w:bCs/>
          <w:color w:val="000000"/>
          <w:sz w:val="24"/>
          <w:szCs w:val="24"/>
        </w:rPr>
        <w:t xml:space="preserve">программы</w:t>
      </w:r>
    </w:p>
    <w:p>
      <w:pPr>
        <w:pStyle w:val="Normal"/>
        <w:tabs>
          <w:tab w:val="clear" w:pos="708"/>
          <w:tab w:val="left" w:pos="1535" w:leader="none"/>
        </w:tabs>
        <w:spacing w:before="0" w:beforeAutospacing="0" w:after="0" w:afterAutospacing="0" w:line="240" w:lineRule="auto"/>
        <w:ind w:left="709" w:right="0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</w:p>
    <w:tbl>
      <w:tblPr>
        <w:tblStyle w:val="827"/>
        <w:tblW w:w="98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1"/>
        <w:gridCol w:w="7086"/>
      </w:tblGrid>
      <w:tr>
        <w:trPr/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Наименование программы</w:t>
            </w:r>
          </w:p>
        </w:tc>
        <w:tc>
          <w:tcPr>
            <w:tcW w:w="7086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профилактики).</w:t>
            </w:r>
          </w:p>
        </w:tc>
      </w:tr>
      <w:tr>
        <w:trPr/>
        <w:tc>
          <w:tcPr>
            <w:tcW w:w="2801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Правовые основания разработки программы</w:t>
            </w:r>
          </w:p>
        </w:tc>
        <w:tc>
          <w:tcPr>
            <w:tcW w:w="7086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Федеральный зако</w:t>
            </w:r>
            <w:r>
              <w:rPr>
                <w:rFonts w:ascii="Liberation Serif" w:hAnsi="Liberation Serif" w:eastAsia="Liberation Serif" w:cs="Liberation Serif"/>
                <w:color w:val="000000"/>
                <w:spacing w:val="345"/>
                <w:sz w:val="24"/>
                <w:szCs w:val="24"/>
                <w:lang w:val="ru-RU" w:eastAsia="en-US" w:bidi="ar-SA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color w:val="000000"/>
                <w:spacing w:val="345"/>
                <w:sz w:val="24"/>
                <w:szCs w:val="24"/>
                <w:lang w:val="ru-RU" w:eastAsia="en-US" w:bidi="ar-SA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31.07.202</w:t>
            </w:r>
            <w:r>
              <w:rPr>
                <w:rFonts w:ascii="Liberation Serif" w:hAnsi="Liberation Serif" w:eastAsia="Liberation Serif" w:cs="Liberation Serif"/>
                <w:color w:val="000000"/>
                <w:spacing w:val="345"/>
                <w:sz w:val="24"/>
                <w:szCs w:val="24"/>
                <w:lang w:val="ru-RU" w:eastAsia="en-US" w:bidi="ar-SA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№ 248-Ф</w:t>
            </w:r>
            <w:r>
              <w:rPr>
                <w:rFonts w:ascii="Liberation Serif" w:hAnsi="Liberation Serif" w:eastAsia="Liberation Serif" w:cs="Liberation Serif"/>
                <w:color w:val="000000"/>
                <w:spacing w:val="345"/>
                <w:sz w:val="24"/>
                <w:szCs w:val="24"/>
                <w:lang w:val="ru-RU" w:eastAsia="en-US" w:bidi="ar-SA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«О государственно</w:t>
            </w:r>
            <w:r>
              <w:rPr>
                <w:rFonts w:ascii="Liberation Serif" w:hAnsi="Liberation Serif" w:eastAsia="Liberation Serif" w:cs="Liberation Serif"/>
                <w:color w:val="000000"/>
                <w:spacing w:val="67"/>
                <w:sz w:val="24"/>
                <w:szCs w:val="24"/>
                <w:lang w:val="ru-RU" w:eastAsia="en-US" w:bidi="ar-SA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контрол</w:t>
            </w:r>
            <w:r>
              <w:rPr>
                <w:rFonts w:ascii="Liberation Serif" w:hAnsi="Liberation Serif" w:eastAsia="Liberation Serif" w:cs="Liberation Serif"/>
                <w:color w:val="000000"/>
                <w:spacing w:val="67"/>
                <w:sz w:val="24"/>
                <w:szCs w:val="24"/>
                <w:lang w:val="ru-RU" w:eastAsia="en-US" w:bidi="ar-SA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(надзоре</w:t>
            </w:r>
            <w:r>
              <w:rPr>
                <w:rFonts w:ascii="Liberation Serif" w:hAnsi="Liberation Serif" w:eastAsia="Liberation Serif" w:cs="Liberation Serif"/>
                <w:color w:val="000000"/>
                <w:spacing w:val="67"/>
                <w:sz w:val="24"/>
                <w:szCs w:val="24"/>
                <w:lang w:val="ru-RU" w:eastAsia="en-US" w:bidi="ar-SA"/>
              </w:rPr>
              <w:t xml:space="preserve">)и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муниципально</w:t>
            </w:r>
            <w:r>
              <w:rPr>
                <w:rFonts w:ascii="Liberation Serif" w:hAnsi="Liberation Serif" w:eastAsia="Liberation Serif" w:cs="Liberation Serif"/>
                <w:color w:val="000000"/>
                <w:spacing w:val="67"/>
                <w:sz w:val="24"/>
                <w:szCs w:val="24"/>
                <w:lang w:val="ru-RU" w:eastAsia="en-US" w:bidi="ar-SA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контроле </w:t>
            </w:r>
            <w:r>
              <w:rPr>
                <w:rFonts w:ascii="Liberation Serif" w:hAnsi="Liberation Serif" w:eastAsia="Liberation Serif" w:cs="Liberation Serif"/>
                <w:color w:val="000000"/>
                <w:spacing w:val="60"/>
                <w:sz w:val="24"/>
                <w:szCs w:val="24"/>
                <w:lang w:val="ru-RU" w:eastAsia="en-US" w:bidi="ar-SA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Российско</w:t>
            </w:r>
            <w:r>
              <w:rPr>
                <w:rFonts w:ascii="Liberation Serif" w:hAnsi="Liberation Serif" w:eastAsia="Liberation Serif" w:cs="Liberation Serif"/>
                <w:color w:val="000000"/>
                <w:spacing w:val="60"/>
                <w:sz w:val="24"/>
                <w:szCs w:val="24"/>
                <w:lang w:val="ru-RU" w:eastAsia="en-US" w:bidi="ar-SA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Федерации»,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>
        <w:trPr/>
        <w:tc>
          <w:tcPr>
            <w:tcW w:w="2801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Разработчик программы</w:t>
            </w:r>
          </w:p>
        </w:tc>
        <w:tc>
          <w:tcPr>
            <w:tcW w:w="7086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Администрация поселка городского типа Уренгой (далее – Администрация).</w:t>
            </w:r>
          </w:p>
        </w:tc>
      </w:tr>
      <w:tr>
        <w:trPr/>
        <w:tc>
          <w:tcPr>
            <w:tcW w:w="2801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Цель программы</w:t>
            </w:r>
          </w:p>
        </w:tc>
        <w:tc>
          <w:tcPr>
            <w:tcW w:w="7086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2. Снижение административной нагрузки на подконтрольные субъекты.</w:t>
            </w:r>
          </w:p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3. Предупреждение возможного нарушения подконтрольными субъектами обязательных требований земельного законодательства.</w:t>
            </w:r>
          </w:p>
        </w:tc>
      </w:tr>
      <w:tr>
        <w:trPr/>
        <w:tc>
          <w:tcPr>
            <w:tcW w:w="2801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Задачи программы</w:t>
            </w:r>
          </w:p>
        </w:tc>
        <w:tc>
          <w:tcPr>
            <w:tcW w:w="7086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1. Предотвращение рисков причинения вреда охраняемым законом ценностям.</w:t>
            </w:r>
          </w:p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2. Укрепление системы профилактики нарушений обязательных требований.</w:t>
            </w:r>
          </w:p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3. Выявление причин, факторов и условий, способствующих нарушениям обязательных требований земельного законодательства.</w:t>
            </w:r>
          </w:p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4.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физических лиц.</w:t>
            </w:r>
          </w:p>
        </w:tc>
      </w:tr>
      <w:tr>
        <w:trPr/>
        <w:tc>
          <w:tcPr>
            <w:tcW w:w="2801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Срок реализации программы профилактики</w:t>
            </w:r>
          </w:p>
        </w:tc>
        <w:tc>
          <w:tcPr>
            <w:tcW w:w="7086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709"/>
              <w:jc w:val="left"/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202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 год</w:t>
            </w:r>
          </w:p>
        </w:tc>
      </w:tr>
      <w:tr>
        <w:trPr/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Ожидаемые результаты реализации программы</w:t>
            </w:r>
          </w:p>
        </w:tc>
        <w:tc>
          <w:tcPr>
            <w:tcW w:w="7086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1. Увеличение числа контролируемых лиц, соблюдающих при осуществлении деятельности обязательные требования земельного законодательства.</w:t>
            </w:r>
          </w:p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2. Уменьшение числа выявляемых нарушений обязательных требований земельного законодательства.</w:t>
            </w:r>
          </w:p>
          <w:p>
            <w:pPr>
              <w:pStyle w:val="Normal"/>
              <w:widowControl/>
              <w:tabs>
                <w:tab w:val="clear" w:pos="708"/>
                <w:tab w:val="left" w:pos="1535" w:leader="none"/>
              </w:tabs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3. Повышение правосознания и правовой культуры контролируемых лиц.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1. Анализ текущего состояния осуществления муниципального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земельного контроля  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1.1. Муниципальный земельный контроль осуществляется в отношении юридических лиц, индивидуальных предпринимателей, граждан, в том числе граждан Российской Федерации, иностранных граждан и лиц без гражданства – контролируемые лица.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1.2. 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1.3. В связи с ограничениями, установленными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3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году в рамках муниципального земельного контроля внеплановые проверки не проводились. 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2022 год, утвержденный приказом Администрации поселка городского типа Уренгой от 13.12.202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2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№ 5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55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.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В 202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3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202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3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год осуществлялись следующие мероприятия: информирование, консультирование. 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2. Характеристика проблем, на решение которых направлена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программа профилактики 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shd w:val="clear" w:color="ffffff" w:fill="ffffff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2.1. К основным проблемам, возникающим в результате нарушения охраняемых ценностей при осуществлении муниципального земельного контроля являются:</w:t>
      </w:r>
    </w:p>
    <w:p>
      <w:pPr>
        <w:pStyle w:val="Normal"/>
        <w:shd w:val="clear" w:color="ffffff" w:fill="ffffff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1) непоступление в бюджет муниципального округа Пуровский район денежных средств за пользование земельными участками;</w:t>
      </w:r>
    </w:p>
    <w:p>
      <w:pPr>
        <w:pStyle w:val="Normal"/>
        <w:shd w:val="clear" w:color="ffffff" w:fill="ffffff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2) нарушение имущественных прав Российской Федерации, Ямало-Ненецкого автономного округа, органов местного самоуправления, юридических лиц, индивидуальных предпринимателей и физических лиц;</w:t>
      </w:r>
    </w:p>
    <w:p>
      <w:pPr>
        <w:pStyle w:val="Normal"/>
        <w:shd w:val="clear" w:color="ffffff" w:fill="ffffff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3) ухудшение экологической обстановки;</w:t>
      </w:r>
    </w:p>
    <w:p>
      <w:pPr>
        <w:pStyle w:val="Normal"/>
        <w:shd w:val="clear" w:color="ffffff" w:fill="ffffff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4) неиспользование экономического потенциала земельных участков.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 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3. Цели и задачи реализации программы профилактики 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1)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2) снижение административной нагрузки на подконтрольные субъекты;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3) создание мотивации к добросовестному поведению подконтрольных субъектов;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4) снижение уровня ущерба охраняемым законом ценностям.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3.2. Задачами Программы являются: 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-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</w:p>
    <w:p>
      <w:pPr>
        <w:pStyle w:val="Normal"/>
        <w:tabs>
          <w:tab w:val="clear" w:pos="708"/>
          <w:tab w:val="left" w:pos="709" w:leader="none"/>
        </w:tabs>
        <w:spacing w:before="0" w:beforeAutospacing="0" w:after="0" w:afterAutospacing="0" w:line="240" w:lineRule="auto"/>
        <w:ind w:left="709" w:right="0" w:firstLine="709"/>
        <w:jc w:val="center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4. Перечень профилактических мероприятий, сроки (периодичность) их проведения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</w:p>
    <w:p>
      <w:pPr>
        <w:pStyle w:val="Normal"/>
        <w:tabs>
          <w:tab w:val="clear" w:pos="708"/>
          <w:tab w:val="left" w:pos="709" w:leader="none"/>
        </w:tabs>
        <w:spacing w:before="0" w:beforeAutospacing="0" w:after="0" w:afterAutospacing="0" w:line="240" w:lineRule="auto"/>
        <w:ind w:left="709" w:right="0" w:firstLine="709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beforeAutospacing="0" w:after="0" w:afterAutospacing="0" w:line="240" w:lineRule="auto"/>
        <w:ind w:left="709" w:right="0" w:firstLine="709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Таблица </w:t>
      </w:r>
    </w:p>
    <w:tbl>
      <w:tblPr>
        <w:tblStyle w:val="827"/>
        <w:tblW w:w="98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3895"/>
        <w:gridCol w:w="2659"/>
        <w:gridCol w:w="2757"/>
      </w:tblGrid>
      <w:tr>
        <w:trPr/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п/п</w:t>
            </w:r>
          </w:p>
        </w:tc>
        <w:tc>
          <w:tcPr>
            <w:tcW w:w="3895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Наименование формы мероприятия</w:t>
            </w:r>
          </w:p>
        </w:tc>
        <w:tc>
          <w:tcPr>
            <w:tcW w:w="2659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Срок (периодичность) проведения мероприятия</w:t>
            </w:r>
          </w:p>
        </w:tc>
        <w:tc>
          <w:tcPr>
            <w:tcW w:w="2757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Ответственный исполнитель</w:t>
            </w:r>
          </w:p>
        </w:tc>
      </w:tr>
      <w:tr>
        <w:trPr/>
        <w:tc>
          <w:tcPr>
            <w:tcW w:w="9887" w:type="dxa"/>
            <w:gridSpan w:val="4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709" w:right="0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1. Информирование</w:t>
            </w:r>
          </w:p>
        </w:tc>
      </w:tr>
      <w:tr>
        <w:trPr/>
        <w:tc>
          <w:tcPr>
            <w:tcW w:w="576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709"/>
              <w:jc w:val="left"/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11</w:t>
            </w:r>
          </w:p>
        </w:tc>
        <w:tc>
          <w:tcPr>
            <w:tcW w:w="3895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Актуализация и размещение в сети «Интернет» на официальном сайте Администрации: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б)материалов,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в) перечня индикаторов риска нарушения обязательных требований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2659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709"/>
              <w:jc w:val="both"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709"/>
              <w:jc w:val="both"/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709"/>
              <w:jc w:val="both"/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Не позднее 5 рабочих дней с момента изменения действующего законодательства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Не реже 2 раз в год</w:t>
            </w: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lang w:val="ru-RU" w:eastAsia="en-US" w:bidi="ar-SA"/>
              </w:rPr>
              <w:t xml:space="preserve">.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Calibri" w:cs="Liberation Serif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709"/>
              <w:jc w:val="both"/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Не позднее 10 рабочих дней после их утверждения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Не позднее 25 декабря предшествующего года</w:t>
            </w:r>
          </w:p>
        </w:tc>
        <w:tc>
          <w:tcPr>
            <w:tcW w:w="2757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-1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Главный специалист по земельным вопросам Администрации</w:t>
            </w:r>
          </w:p>
        </w:tc>
      </w:tr>
      <w:tr>
        <w:trPr/>
        <w:tc>
          <w:tcPr>
            <w:tcW w:w="9887" w:type="dxa"/>
            <w:gridSpan w:val="4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709" w:right="0"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2. Объявление предостережения</w:t>
            </w:r>
          </w:p>
        </w:tc>
      </w:tr>
      <w:tr>
        <w:trPr/>
        <w:tc>
          <w:tcPr>
            <w:tcW w:w="576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709"/>
              <w:jc w:val="left"/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22</w:t>
            </w:r>
          </w:p>
        </w:tc>
        <w:tc>
          <w:tcPr>
            <w:tcW w:w="3895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59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При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57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Главный специалист по земельным вопросам Администрации</w:t>
            </w:r>
          </w:p>
        </w:tc>
      </w:tr>
      <w:tr>
        <w:trPr/>
        <w:tc>
          <w:tcPr>
            <w:tcW w:w="9887" w:type="dxa"/>
            <w:gridSpan w:val="4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709" w:right="0"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3. Консультирование</w:t>
            </w:r>
          </w:p>
        </w:tc>
      </w:tr>
      <w:tr>
        <w:trPr/>
        <w:tc>
          <w:tcPr>
            <w:tcW w:w="576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33</w:t>
            </w:r>
          </w:p>
        </w:tc>
        <w:tc>
          <w:tcPr>
            <w:tcW w:w="3895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Консультирование осуществляется по следующим вопросам: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а) предмет муниципального земельного контроля;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б) порядок осуществления проверок, рейдовых осмотров;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в) порядок осуществления контрольных (надзорных) мероприятий без взаимодействия с контролируемым лицом;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г) порядок принятия решений по итогам контрольных мероприятий;</w:t>
            </w:r>
          </w:p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д) соблюдение обязательных требований земельного законодательства.</w:t>
            </w:r>
          </w:p>
        </w:tc>
        <w:tc>
          <w:tcPr>
            <w:tcW w:w="2659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val="ru-RU" w:eastAsia="en-US" w:bidi="ar-SA"/>
              </w:rPr>
              <w:t xml:space="preserve">Консультирование может проходить по телефону, посредством видео, конференц-связи, на личном приеме,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57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</w:tcPr>
          <w:p>
            <w:pPr>
              <w:pStyle w:val="Normal"/>
              <w:widowControl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pacing w:val="2"/>
                <w:sz w:val="24"/>
                <w:szCs w:val="24"/>
                <w:highlight w:val="white"/>
                <w:lang w:val="ru-RU" w:eastAsia="en-US" w:bidi="ar-SA"/>
              </w:rPr>
              <w:t xml:space="preserve">Главный специалист по земельным вопросам Администрации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5. Показатели результативности и эффективности программы профилактики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 </w:t>
      </w: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рисков причинения вреда (ущерба)</w:t>
      </w:r>
    </w:p>
    <w:p>
      <w:pPr>
        <w:pStyle w:val="Normal"/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jc w:val="center"/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 </w:t>
      </w:r>
    </w:p>
    <w:p>
      <w:pPr>
        <w:pStyle w:val="ListParagraph"/>
        <w:numPr>
          <w:numId w:val="1"/>
          <w:ilvl w:val="0"/>
        </w:numPr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contextualSpacing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 № 248-ФЗ «О государственном контроле (надзоре) и муниципальном контроле в Российской Федерации»;</w:t>
      </w:r>
    </w:p>
    <w:p>
      <w:pPr>
        <w:pStyle w:val="ListParagraph"/>
        <w:numPr>
          <w:numId w:val="1"/>
          <w:ilvl w:val="0"/>
        </w:numPr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contextualSpacing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Увеличению доли контролируемых лиц, соблюдающих обязательные требования земельного законодательства;</w:t>
      </w:r>
    </w:p>
    <w:p>
      <w:pPr>
        <w:pStyle w:val="ListParagraph"/>
        <w:numPr>
          <w:numId w:val="1"/>
          <w:ilvl w:val="0"/>
        </w:numPr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contextualSpacing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Повышению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физических лиц;</w:t>
      </w:r>
    </w:p>
    <w:p>
      <w:pPr>
        <w:pStyle w:val="ListParagraph"/>
        <w:numPr>
          <w:numId w:val="1"/>
          <w:ilvl w:val="0"/>
        </w:numPr>
        <w:tabs>
          <w:tab w:val="clear" w:pos="708"/>
          <w:tab w:val="left" w:pos="0" w:leader="none"/>
        </w:tabs>
        <w:spacing w:before="0" w:beforeAutospacing="0" w:after="0" w:afterAutospacing="0" w:line="240" w:lineRule="auto"/>
        <w:ind w:left="0" w:righ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Количество осуществленных консультирований в устной и письменной форме.</w:t>
      </w:r>
    </w:p>
    <w:sectPr>
      <w:type w:val="nextPage"/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Liberation Serif">
    <w:panose1 w:val="02020603050405020304"/>
  </w:font>
  <w:font w:name="Times New Roman">
    <w:panose1 w:val="02020603050405020304"/>
  </w:font>
  <w:font w:name="Liberation Serif">
    <w:panose1 w:val="02020603050405020304"/>
  </w:font>
  <w:font w:name="Lohit Devanagari">
    <w:panose1 w:val="05050102010205020202"/>
  </w:font>
  <w:font w:name="WenQuanYi Micro Hei">
    <w:panose1 w:val="05050102010205020202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Arial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beforeAutospacing="0" w:after="200" w:afterAutospacing="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</w:style>
  <w:style w:type="character" w:styleId="FooterChar">
    <w:name w:val="Footer Char"/>
    <w:basedOn w:val="DefaultParagraphFont"/>
    <w:uiPriority w:val="99"/>
    <w:qFormat/>
  </w:style>
  <w:style w:type="character" w:styleId="CaptionChar">
    <w:name w:val="Caption Char"/>
    <w:uiPriority w:val="99"/>
    <w:qFormat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val="clear" w:fill="e1dfdd"/>
    </w:rPr>
  </w:style>
  <w:style w:type="paragraph" w:styleId="Style7">
    <w:name w:val="Заголовок"/>
    <w:basedOn w:val="Normal"/>
    <w:next w:val="BodyText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</w:style>
  <w:style w:type="paragraph" w:styleId="NoSpacing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FootnoteText">
    <w:name w:val="Footnote Text"/>
    <w:basedOn w:val="Normal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left="0" w:right="0" w:firstLine="0"/>
    </w:pPr>
  </w:style>
  <w:style w:type="paragraph" w:styleId="TOC2">
    <w:name w:val="TOC 2"/>
    <w:basedOn w:val="Normal"/>
    <w:uiPriority w:val="39"/>
    <w:unhideWhenUsed/>
    <w:pPr>
      <w:spacing w:before="0" w:after="57"/>
      <w:ind w:left="283" w:right="0" w:firstLine="0"/>
    </w:pPr>
  </w:style>
  <w:style w:type="paragraph" w:styleId="TOC3">
    <w:name w:val="TOC 3"/>
    <w:basedOn w:val="Normal"/>
    <w:uiPriority w:val="39"/>
    <w:unhideWhenUsed/>
    <w:pPr>
      <w:spacing w:before="0" w:after="57"/>
      <w:ind w:left="567" w:right="0" w:firstLine="0"/>
    </w:pPr>
  </w:style>
  <w:style w:type="paragraph" w:styleId="TOC4">
    <w:name w:val="TOC 4"/>
    <w:basedOn w:val="Normal"/>
    <w:uiPriority w:val="39"/>
    <w:unhideWhenUsed/>
    <w:pPr>
      <w:spacing w:before="0" w:after="57"/>
      <w:ind w:left="850" w:right="0" w:firstLine="0"/>
    </w:pPr>
  </w:style>
  <w:style w:type="paragraph" w:styleId="TOC5">
    <w:name w:val="TOC 5"/>
    <w:basedOn w:val="Normal"/>
    <w:uiPriority w:val="39"/>
    <w:unhideWhenUsed/>
    <w:pPr>
      <w:spacing w:before="0" w:after="57"/>
      <w:ind w:left="1134" w:right="0" w:firstLine="0"/>
    </w:pPr>
  </w:style>
  <w:style w:type="paragraph" w:styleId="TOC6">
    <w:name w:val="TOC 6"/>
    <w:basedOn w:val="Normal"/>
    <w:uiPriority w:val="39"/>
    <w:unhideWhenUsed/>
    <w:pPr>
      <w:spacing w:before="0" w:after="57"/>
      <w:ind w:left="1417" w:right="0" w:firstLine="0"/>
    </w:pPr>
  </w:style>
  <w:style w:type="paragraph" w:styleId="TOC7">
    <w:name w:val="TOC 7"/>
    <w:basedOn w:val="Normal"/>
    <w:uiPriority w:val="39"/>
    <w:unhideWhenUsed/>
    <w:pPr>
      <w:spacing w:before="0" w:after="57"/>
      <w:ind w:left="1701" w:right="0" w:firstLine="0"/>
    </w:pPr>
  </w:style>
  <w:style w:type="paragraph" w:styleId="TOC8">
    <w:name w:val="TOC 8"/>
    <w:basedOn w:val="Normal"/>
    <w:uiPriority w:val="39"/>
    <w:unhideWhenUsed/>
    <w:pPr>
      <w:spacing w:before="0" w:after="57"/>
      <w:ind w:left="1984" w:right="0" w:firstLine="0"/>
    </w:pPr>
  </w:style>
  <w:style w:type="paragraph" w:styleId="TOC9">
    <w:name w:val="TOC 9"/>
    <w:basedOn w:val="Normal"/>
    <w:uiPriority w:val="39"/>
    <w:unhideWhenUsed/>
    <w:pPr>
      <w:spacing w:before="0" w:after="57"/>
      <w:ind w:left="2268" w:right="0" w:firstLine="0"/>
    </w:pPr>
  </w:style>
  <w:style w:type="paragraph" w:styleId="IndexHeading">
    <w:name w:val="Index Heading"/>
    <w:basedOn w:val="Style7"/>
  </w:style>
  <w:style w:type="paragraph" w:styleId="TOCHeading">
    <w:name w:val="TOC Heading"/>
    <w:uiPriority w:val="39"/>
    <w:unhideWhenUsed/>
    <w:qFormat/>
    <w:pPr>
      <w:widowControl/>
      <w:spacing w:before="0" w:beforeAutospacing="0" w:after="200" w:afterAutospacing="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 w:afterAutospacing="0"/>
    </w:pPr>
  </w:style>
  <w:style w:type="paragraph" w:styleId="Default" w:customStyle="1">
    <w:name w:val="Default"/>
    <w:qFormat/>
    <w:pPr>
      <w:widowControl/>
      <w:spacing w:before="0" w:beforeAutospacing="0" w:after="0" w:afterAutospacing="0" w:line="240" w:lineRule="auto"/>
      <w:jc w:val="left"/>
    </w:pPr>
    <w:rPr>
      <w:rFonts w:ascii="Liberation Serif" w:hAnsi="Liberation Serif" w:eastAsia="Calibri" w:cs="Liberation Serif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3BD9275-398D-4481-9761-3F13728E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7572</Characters>
  <CharactersWithSpaces>8707</CharactersWithSpaces>
  <Pages>4</Pages>
  <Paragraphs>97</Paragraphs>
  <Template>Normal.dotm</Template>
  <TotalTime>7</TotalTime>
  <Words>926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Uts-3041</dc:creator>
  <dc:description/>
  <dc:language>ru-RU</dc:language>
  <cp:lastModifiedBy/>
  <cp:revision>12</cp:revision>
  <dcterms:created xsi:type="dcterms:W3CDTF">2021-12-09T10:52:00Z</dcterms:created>
  <dcterms:modified xsi:type="dcterms:W3CDTF">2023-11-21T08:49:07Z</dcterms:modified>
</cp:coreProperties>
</file>